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94" w:rsidRPr="00DC5836" w:rsidRDefault="00DC5836" w:rsidP="00DC5836">
      <w:pPr>
        <w:pStyle w:val="Body1"/>
        <w:jc w:val="right"/>
        <w:rPr>
          <w:rFonts w:ascii="Times New Roman" w:eastAsia="ＭＳ Ｐ明朝" w:hAnsi="Times New Roman" w:hint="eastAsia"/>
          <w:szCs w:val="24"/>
        </w:rPr>
      </w:pPr>
      <w:r w:rsidRPr="00DC5836">
        <w:rPr>
          <w:rFonts w:ascii="Times New Roman" w:eastAsia="ＭＳ Ｐ明朝" w:hAnsi="Times New Roman" w:hint="eastAsia"/>
          <w:szCs w:val="24"/>
        </w:rPr>
        <w:t>2012</w:t>
      </w:r>
      <w:r w:rsidRPr="00DC5836">
        <w:rPr>
          <w:rFonts w:ascii="Times New Roman" w:eastAsia="ＭＳ Ｐ明朝" w:hAnsi="Times New Roman" w:hint="eastAsia"/>
          <w:szCs w:val="24"/>
        </w:rPr>
        <w:t>年</w:t>
      </w:r>
      <w:r w:rsidRPr="00DC5836">
        <w:rPr>
          <w:rFonts w:ascii="Times New Roman" w:eastAsia="ＭＳ Ｐ明朝" w:hAnsi="Times New Roman" w:hint="eastAsia"/>
          <w:szCs w:val="24"/>
        </w:rPr>
        <w:t>3</w:t>
      </w:r>
      <w:r w:rsidRPr="00DC5836">
        <w:rPr>
          <w:rFonts w:ascii="Times New Roman" w:eastAsia="ＭＳ Ｐ明朝" w:hAnsi="Times New Roman" w:hint="eastAsia"/>
          <w:szCs w:val="24"/>
        </w:rPr>
        <w:t>月</w:t>
      </w:r>
      <w:r w:rsidRPr="00DC5836">
        <w:rPr>
          <w:rFonts w:ascii="Times New Roman" w:eastAsia="ＭＳ Ｐ明朝" w:hAnsi="Times New Roman" w:hint="eastAsia"/>
          <w:szCs w:val="24"/>
        </w:rPr>
        <w:t>31</w:t>
      </w:r>
      <w:r w:rsidRPr="00DC5836">
        <w:rPr>
          <w:rFonts w:ascii="Times New Roman" w:eastAsia="ＭＳ Ｐ明朝" w:hAnsi="Times New Roman" w:hint="eastAsia"/>
          <w:szCs w:val="24"/>
        </w:rPr>
        <w:t>日</w:t>
      </w:r>
    </w:p>
    <w:p w:rsidR="00DC5836" w:rsidRPr="00424691" w:rsidRDefault="00DC5836" w:rsidP="00AA067A">
      <w:pPr>
        <w:pStyle w:val="Body1"/>
        <w:jc w:val="center"/>
        <w:rPr>
          <w:rFonts w:ascii="Times New Roman" w:eastAsia="ＭＳ Ｐ明朝" w:hAnsi="Times New Roman" w:hint="eastAsia"/>
          <w:sz w:val="21"/>
          <w:szCs w:val="21"/>
        </w:rPr>
      </w:pPr>
    </w:p>
    <w:p w:rsidR="00AA067A" w:rsidRPr="006C68B8" w:rsidRDefault="00AA067A" w:rsidP="00AA067A">
      <w:pPr>
        <w:pStyle w:val="Body1"/>
        <w:jc w:val="center"/>
        <w:rPr>
          <w:rFonts w:ascii="Times New Roman" w:eastAsia="ＭＳ Ｐ明朝" w:hAnsi="Times New Roman"/>
          <w:sz w:val="32"/>
          <w:szCs w:val="32"/>
        </w:rPr>
      </w:pPr>
      <w:r w:rsidRPr="006C68B8">
        <w:rPr>
          <w:rFonts w:ascii="Times New Roman" w:eastAsia="ＭＳ Ｐ明朝" w:hAnsi="Times New Roman"/>
          <w:sz w:val="32"/>
          <w:szCs w:val="32"/>
        </w:rPr>
        <w:t>Gentzen</w:t>
      </w:r>
      <w:r w:rsidRPr="006C68B8">
        <w:rPr>
          <w:rFonts w:ascii="Times New Roman" w:eastAsia="ＭＳ Ｐ明朝" w:hAnsi="Times New Roman"/>
          <w:sz w:val="32"/>
          <w:szCs w:val="32"/>
        </w:rPr>
        <w:t>の基本定理と無矛盾性証明へ応用</w:t>
      </w:r>
    </w:p>
    <w:p w:rsidR="00AA067A" w:rsidRPr="00AA067A" w:rsidRDefault="00AA067A" w:rsidP="00AA067A">
      <w:pPr>
        <w:pStyle w:val="Body1"/>
        <w:jc w:val="right"/>
        <w:rPr>
          <w:rFonts w:ascii="Times New Roman" w:eastAsia="ＭＳ Ｐ明朝" w:hAnsi="Times New Roman"/>
        </w:rPr>
      </w:pPr>
      <w:r w:rsidRPr="00AA067A">
        <w:rPr>
          <w:rFonts w:ascii="Times New Roman" w:eastAsia="ＭＳ Ｐ明朝" w:hAnsi="Times New Roman"/>
          <w:sz w:val="26"/>
        </w:rPr>
        <w:t xml:space="preserve">                                                                  </w:t>
      </w:r>
      <w:r w:rsidRPr="00AA067A">
        <w:rPr>
          <w:rFonts w:ascii="Times New Roman" w:eastAsia="ＭＳ Ｐ明朝" w:hAnsi="Times New Roman"/>
        </w:rPr>
        <w:t>大原証蔵（</w:t>
      </w:r>
      <w:r w:rsidRPr="00AA067A">
        <w:rPr>
          <w:rFonts w:ascii="Times New Roman" w:eastAsia="ＭＳ Ｐ明朝" w:hAnsi="Times New Roman"/>
        </w:rPr>
        <w:t>@</w:t>
      </w:r>
      <w:proofErr w:type="spellStart"/>
      <w:r w:rsidRPr="00AA067A">
        <w:rPr>
          <w:rFonts w:ascii="Times New Roman" w:eastAsia="ＭＳ Ｐ明朝" w:hAnsi="Times New Roman"/>
        </w:rPr>
        <w:t>prooftheorist</w:t>
      </w:r>
      <w:proofErr w:type="spellEnd"/>
      <w:r w:rsidRPr="00AA067A">
        <w:rPr>
          <w:rFonts w:ascii="Times New Roman" w:eastAsia="ＭＳ Ｐ明朝" w:hAnsi="Times New Roman"/>
        </w:rPr>
        <w:t>）</w:t>
      </w:r>
    </w:p>
    <w:p w:rsidR="00AA067A" w:rsidRDefault="00AA067A" w:rsidP="00AA067A">
      <w:pPr>
        <w:pStyle w:val="Body1"/>
        <w:rPr>
          <w:rFonts w:ascii="Times New Roman" w:eastAsia="ＭＳ Ｐ明朝" w:hAnsi="Times New Roman" w:hint="eastAsia"/>
        </w:rPr>
      </w:pPr>
    </w:p>
    <w:p w:rsidR="00250C94" w:rsidRPr="00AA067A" w:rsidRDefault="00250C94" w:rsidP="00AA067A">
      <w:pPr>
        <w:pStyle w:val="Body1"/>
        <w:rPr>
          <w:rFonts w:ascii="Times New Roman" w:eastAsia="ＭＳ Ｐ明朝" w:hAnsi="Times New Roman"/>
        </w:rPr>
      </w:pPr>
    </w:p>
    <w:p w:rsidR="00AA067A" w:rsidRPr="00250C94" w:rsidRDefault="00AA067A" w:rsidP="00250C94">
      <w:pPr>
        <w:pStyle w:val="Body1"/>
        <w:ind w:firstLineChars="100" w:firstLine="241"/>
        <w:rPr>
          <w:rFonts w:ascii="Times New Roman" w:eastAsia="ＭＳ Ｐ明朝" w:hAnsi="Times New Roman"/>
          <w:b/>
          <w:szCs w:val="24"/>
        </w:rPr>
      </w:pPr>
      <w:r w:rsidRPr="00250C94">
        <w:rPr>
          <w:rFonts w:ascii="Times New Roman" w:eastAsia="ＭＳ Ｐ明朝" w:hAnsi="Times New Roman"/>
          <w:b/>
          <w:szCs w:val="24"/>
        </w:rPr>
        <w:t>Gentzen</w:t>
      </w:r>
      <w:r w:rsidRPr="00250C94">
        <w:rPr>
          <w:rFonts w:ascii="Times New Roman" w:eastAsia="ＭＳ Ｐ明朝" w:hAnsi="Times New Roman"/>
          <w:b/>
          <w:szCs w:val="24"/>
        </w:rPr>
        <w:t>の基本定理とは</w:t>
      </w:r>
    </w:p>
    <w:p w:rsidR="00AA067A" w:rsidRPr="00450EE2" w:rsidRDefault="00450EE2" w:rsidP="00450EE2">
      <w:pPr>
        <w:pStyle w:val="Body1"/>
        <w:numPr>
          <w:ilvl w:val="0"/>
          <w:numId w:val="3"/>
        </w:numPr>
        <w:rPr>
          <w:rFonts w:ascii="Times New Roman" w:eastAsia="ＭＳ Ｐ明朝" w:hAnsi="Times New Roman" w:hint="eastAsia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第一階古典述語計算の形式的体系</w:t>
      </w:r>
      <w:r w:rsidR="006C68B8">
        <w:rPr>
          <w:rFonts w:ascii="Times New Roman" w:eastAsia="ＭＳ Ｐ明朝" w:hAnsi="Times New Roman" w:hint="eastAsia"/>
          <w:sz w:val="21"/>
          <w:szCs w:val="21"/>
        </w:rPr>
        <w:t>LK</w:t>
      </w:r>
      <w:r>
        <w:rPr>
          <w:rFonts w:ascii="Times New Roman" w:eastAsia="ＭＳ Ｐ明朝" w:hAnsi="Times New Roman"/>
          <w:sz w:val="21"/>
          <w:szCs w:val="21"/>
        </w:rPr>
        <w:t>で成り立つ定理</w:t>
      </w:r>
      <w:r>
        <w:rPr>
          <w:rFonts w:ascii="Times New Roman" w:eastAsia="ＭＳ Ｐ明朝" w:hAnsi="Times New Roman" w:hint="eastAsia"/>
          <w:sz w:val="21"/>
          <w:szCs w:val="21"/>
        </w:rPr>
        <w:t>：「</w:t>
      </w:r>
      <w:r w:rsidR="006C68B8">
        <w:rPr>
          <w:rFonts w:ascii="Times New Roman" w:eastAsia="ＭＳ Ｐ明朝" w:hAnsi="Times New Roman"/>
          <w:sz w:val="21"/>
          <w:szCs w:val="21"/>
        </w:rPr>
        <w:t>LK</w:t>
      </w:r>
      <w:r w:rsidR="00AA067A" w:rsidRPr="00450EE2">
        <w:rPr>
          <w:rFonts w:ascii="Times New Roman" w:eastAsia="ＭＳ Ｐ明朝" w:hAnsi="Times New Roman"/>
          <w:sz w:val="21"/>
          <w:szCs w:val="21"/>
        </w:rPr>
        <w:t>で証明可能な式はすべて，</w:t>
      </w:r>
      <w:r w:rsidR="00AA067A" w:rsidRPr="00450EE2">
        <w:rPr>
          <w:rFonts w:ascii="Times New Roman" w:eastAsia="ＭＳ Ｐ明朝" w:hAnsi="Times New Roman"/>
          <w:sz w:val="21"/>
          <w:szCs w:val="21"/>
        </w:rPr>
        <w:t>cut free</w:t>
      </w:r>
      <w:r w:rsidR="00AA067A" w:rsidRPr="00450EE2">
        <w:rPr>
          <w:rFonts w:ascii="Times New Roman" w:eastAsia="ＭＳ Ｐ明朝" w:hAnsi="Times New Roman"/>
          <w:sz w:val="21"/>
          <w:szCs w:val="21"/>
        </w:rPr>
        <w:t>な（</w:t>
      </w:r>
      <w:r w:rsidR="00AA067A" w:rsidRPr="00450EE2">
        <w:rPr>
          <w:rFonts w:ascii="Times New Roman" w:eastAsia="ＭＳ Ｐ明朝" w:hAnsi="Times New Roman"/>
          <w:sz w:val="21"/>
          <w:szCs w:val="21"/>
        </w:rPr>
        <w:t>=cut</w:t>
      </w:r>
      <w:r w:rsidRPr="00450EE2">
        <w:rPr>
          <w:rFonts w:ascii="Times New Roman" w:eastAsia="ＭＳ Ｐ明朝" w:hAnsi="Times New Roman"/>
          <w:sz w:val="21"/>
          <w:szCs w:val="21"/>
        </w:rPr>
        <w:t>なしの）証明図を持つ</w:t>
      </w:r>
      <w:r w:rsidR="00AA067A" w:rsidRPr="00450EE2">
        <w:rPr>
          <w:rFonts w:ascii="Times New Roman" w:eastAsia="ＭＳ Ｐ明朝" w:hAnsi="Times New Roman"/>
          <w:sz w:val="21"/>
          <w:szCs w:val="21"/>
        </w:rPr>
        <w:t>．</w:t>
      </w:r>
      <w:r>
        <w:rPr>
          <w:rFonts w:ascii="Times New Roman" w:eastAsia="ＭＳ Ｐ明朝" w:hAnsi="Times New Roman"/>
          <w:sz w:val="21"/>
          <w:szCs w:val="21"/>
        </w:rPr>
        <w:t>」</w:t>
      </w:r>
    </w:p>
    <w:p w:rsidR="00AA067A" w:rsidRPr="00AA067A" w:rsidRDefault="00450EE2" w:rsidP="00450EE2">
      <w:pPr>
        <w:pStyle w:val="Body1"/>
        <w:numPr>
          <w:ilvl w:val="0"/>
          <w:numId w:val="3"/>
        </w:numPr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その系として</w:t>
      </w:r>
      <w:r w:rsidR="00AA067A" w:rsidRPr="00AA067A">
        <w:rPr>
          <w:rFonts w:ascii="Times New Roman" w:eastAsia="ＭＳ Ｐ明朝" w:hAnsi="Times New Roman"/>
          <w:sz w:val="21"/>
          <w:szCs w:val="21"/>
        </w:rPr>
        <w:t>この体系の無矛盾性等，</w:t>
      </w:r>
      <w:r w:rsidR="00A33754">
        <w:rPr>
          <w:rFonts w:ascii="Times New Roman" w:eastAsia="ＭＳ Ｐ明朝" w:hAnsi="Times New Roman"/>
          <w:sz w:val="21"/>
          <w:szCs w:val="21"/>
        </w:rPr>
        <w:t>いくつかの</w:t>
      </w:r>
      <w:r w:rsidR="00AA067A" w:rsidRPr="00AA067A">
        <w:rPr>
          <w:rFonts w:ascii="Times New Roman" w:eastAsia="ＭＳ Ｐ明朝" w:hAnsi="Times New Roman"/>
          <w:sz w:val="21"/>
          <w:szCs w:val="21"/>
        </w:rPr>
        <w:t>興味深い結果が得られる．</w:t>
      </w:r>
    </w:p>
    <w:p w:rsidR="00AA067A" w:rsidRDefault="00AA067A" w:rsidP="00250C94">
      <w:pPr>
        <w:pStyle w:val="Body1"/>
        <w:ind w:firstLineChars="100" w:firstLine="200"/>
        <w:rPr>
          <w:rFonts w:ascii="Times New Roman" w:eastAsia="ＭＳ Ｐ明朝" w:hAnsi="Times New Roman" w:hint="eastAsia"/>
          <w:color w:val="FF0000"/>
          <w:sz w:val="20"/>
        </w:rPr>
      </w:pPr>
      <w:r w:rsidRPr="00AA067A">
        <w:rPr>
          <w:rFonts w:ascii="ＭＳ 明朝" w:eastAsia="ＭＳ 明朝" w:hAnsi="ＭＳ 明朝" w:cs="ＭＳ 明朝" w:hint="eastAsia"/>
          <w:color w:val="FF0000"/>
          <w:sz w:val="20"/>
        </w:rPr>
        <w:t>※</w:t>
      </w:r>
      <w:r w:rsidRPr="00AA067A">
        <w:rPr>
          <w:rFonts w:ascii="Times New Roman" w:eastAsia="ＭＳ Ｐ明朝" w:hAnsi="Times New Roman"/>
          <w:color w:val="FF0000"/>
          <w:sz w:val="20"/>
        </w:rPr>
        <w:t xml:space="preserve"> cut</w:t>
      </w:r>
      <w:r w:rsidRPr="00AA067A">
        <w:rPr>
          <w:rFonts w:ascii="Times New Roman" w:eastAsia="ＭＳ Ｐ明朝" w:hAnsi="Times New Roman"/>
          <w:color w:val="FF0000"/>
          <w:sz w:val="20"/>
        </w:rPr>
        <w:t>は三段論法とも呼ばれる推論図で，いわゆる</w:t>
      </w:r>
      <w:r w:rsidRPr="00AA067A">
        <w:rPr>
          <w:rFonts w:ascii="Times New Roman" w:eastAsia="ＭＳ Ｐ明朝" w:hAnsi="Times New Roman"/>
          <w:i/>
          <w:color w:val="FF0000"/>
          <w:sz w:val="20"/>
        </w:rPr>
        <w:t>modus ponens</w:t>
      </w:r>
      <w:r w:rsidRPr="00AA067A">
        <w:rPr>
          <w:rFonts w:ascii="Times New Roman" w:eastAsia="ＭＳ Ｐ明朝" w:hAnsi="Times New Roman"/>
          <w:color w:val="FF0000"/>
          <w:sz w:val="20"/>
        </w:rPr>
        <w:t>(</w:t>
      </w:r>
      <w:r w:rsidRPr="00AA067A">
        <w:rPr>
          <w:rFonts w:ascii="Times New Roman" w:eastAsia="ＭＳ Ｐ明朝" w:hAnsi="Times New Roman"/>
          <w:color w:val="FF0000"/>
          <w:sz w:val="20"/>
        </w:rPr>
        <w:t>前件肯定式</w:t>
      </w:r>
      <w:r w:rsidRPr="00AA067A">
        <w:rPr>
          <w:rFonts w:ascii="Times New Roman" w:eastAsia="ＭＳ Ｐ明朝" w:hAnsi="Times New Roman"/>
          <w:color w:val="FF0000"/>
          <w:sz w:val="20"/>
        </w:rPr>
        <w:t>)</w:t>
      </w:r>
      <w:r w:rsidRPr="00AA067A">
        <w:rPr>
          <w:rFonts w:ascii="Times New Roman" w:eastAsia="ＭＳ Ｐ明朝" w:hAnsi="Times New Roman"/>
          <w:color w:val="FF0000"/>
          <w:sz w:val="20"/>
        </w:rPr>
        <w:t>を拡張したもの．</w:t>
      </w:r>
    </w:p>
    <w:p w:rsidR="00250C94" w:rsidRPr="00250C94" w:rsidRDefault="00250C94" w:rsidP="00250C94">
      <w:pPr>
        <w:pStyle w:val="Body1"/>
        <w:ind w:firstLineChars="100" w:firstLine="200"/>
        <w:rPr>
          <w:rFonts w:ascii="Times New Roman" w:eastAsia="ＭＳ Ｐ明朝" w:hAnsi="Times New Roman"/>
          <w:color w:val="FF0000"/>
          <w:sz w:val="20"/>
        </w:rPr>
      </w:pPr>
    </w:p>
    <w:p w:rsidR="00AA067A" w:rsidRPr="00250C94" w:rsidRDefault="00AA067A" w:rsidP="00250C94">
      <w:pPr>
        <w:pStyle w:val="Body1"/>
        <w:ind w:firstLineChars="100" w:firstLine="241"/>
        <w:rPr>
          <w:rFonts w:ascii="Times New Roman" w:eastAsia="ＭＳ Ｐ明朝" w:hAnsi="Times New Roman"/>
          <w:b/>
          <w:szCs w:val="24"/>
        </w:rPr>
      </w:pPr>
      <w:proofErr w:type="spellStart"/>
      <w:r w:rsidRPr="00250C94">
        <w:rPr>
          <w:rFonts w:ascii="Times New Roman" w:eastAsia="ＭＳ Ｐ明朝" w:hAnsi="Times New Roman"/>
          <w:b/>
          <w:szCs w:val="24"/>
        </w:rPr>
        <w:t>subformula</w:t>
      </w:r>
      <w:proofErr w:type="spellEnd"/>
      <w:r w:rsidRPr="00250C94">
        <w:rPr>
          <w:rFonts w:ascii="Times New Roman" w:eastAsia="ＭＳ Ｐ明朝" w:hAnsi="Times New Roman"/>
          <w:b/>
          <w:szCs w:val="24"/>
        </w:rPr>
        <w:t xml:space="preserve"> property</w:t>
      </w:r>
    </w:p>
    <w:p w:rsidR="00AA067A" w:rsidRDefault="00AA067A" w:rsidP="00450EE2">
      <w:pPr>
        <w:pStyle w:val="Body1"/>
        <w:numPr>
          <w:ilvl w:val="0"/>
          <w:numId w:val="2"/>
        </w:numPr>
        <w:rPr>
          <w:rFonts w:ascii="Times New Roman" w:eastAsia="ＭＳ Ｐ明朝" w:hAnsi="Times New Roman" w:hint="eastAsia"/>
          <w:sz w:val="21"/>
          <w:szCs w:val="21"/>
        </w:rPr>
      </w:pPr>
      <w:r w:rsidRPr="00AA067A">
        <w:rPr>
          <w:rFonts w:ascii="Times New Roman" w:eastAsia="ＭＳ Ｐ明朝" w:hAnsi="Times New Roman"/>
          <w:sz w:val="21"/>
          <w:szCs w:val="21"/>
        </w:rPr>
        <w:t>cut free</w:t>
      </w:r>
      <w:r w:rsidRPr="00AA067A">
        <w:rPr>
          <w:rFonts w:ascii="Times New Roman" w:eastAsia="ＭＳ Ｐ明朝" w:hAnsi="Times New Roman"/>
          <w:sz w:val="21"/>
          <w:szCs w:val="21"/>
        </w:rPr>
        <w:t>な証明図は，</w:t>
      </w:r>
      <w:proofErr w:type="spellStart"/>
      <w:r w:rsidRPr="00AA067A">
        <w:rPr>
          <w:rFonts w:ascii="Times New Roman" w:eastAsia="ＭＳ Ｐ明朝" w:hAnsi="Times New Roman"/>
          <w:sz w:val="21"/>
          <w:szCs w:val="21"/>
        </w:rPr>
        <w:t>subformula</w:t>
      </w:r>
      <w:proofErr w:type="spellEnd"/>
      <w:r w:rsidRPr="00AA067A">
        <w:rPr>
          <w:rFonts w:ascii="Times New Roman" w:eastAsia="ＭＳ Ｐ明朝" w:hAnsi="Times New Roman"/>
          <w:sz w:val="21"/>
          <w:szCs w:val="21"/>
        </w:rPr>
        <w:t xml:space="preserve"> property</w:t>
      </w:r>
      <w:r w:rsidRPr="00AA067A">
        <w:rPr>
          <w:rFonts w:ascii="Times New Roman" w:eastAsia="ＭＳ Ｐ明朝" w:hAnsi="Times New Roman"/>
          <w:sz w:val="21"/>
          <w:szCs w:val="21"/>
        </w:rPr>
        <w:t>（</w:t>
      </w:r>
      <w:r w:rsidRPr="00AA067A">
        <w:rPr>
          <w:rFonts w:ascii="Times New Roman" w:eastAsia="ＭＳ Ｐ明朝" w:hAnsi="Times New Roman"/>
          <w:sz w:val="21"/>
          <w:szCs w:val="21"/>
        </w:rPr>
        <w:t>=cut free</w:t>
      </w:r>
      <w:r w:rsidRPr="00AA067A">
        <w:rPr>
          <w:rFonts w:ascii="Times New Roman" w:eastAsia="ＭＳ Ｐ明朝" w:hAnsi="Times New Roman"/>
          <w:sz w:val="21"/>
          <w:szCs w:val="21"/>
        </w:rPr>
        <w:t>な証明図の任意の</w:t>
      </w:r>
      <w:r w:rsidRPr="00AA067A">
        <w:rPr>
          <w:rFonts w:ascii="Times New Roman" w:eastAsia="ＭＳ Ｐ明朝" w:hAnsi="Times New Roman"/>
          <w:sz w:val="21"/>
          <w:szCs w:val="21"/>
        </w:rPr>
        <w:t>formula</w:t>
      </w:r>
      <w:r w:rsidRPr="00AA067A">
        <w:rPr>
          <w:rFonts w:ascii="Times New Roman" w:eastAsia="ＭＳ Ｐ明朝" w:hAnsi="Times New Roman"/>
          <w:sz w:val="21"/>
          <w:szCs w:val="21"/>
        </w:rPr>
        <w:t>は，終式のある</w:t>
      </w:r>
      <w:r w:rsidRPr="00AA067A">
        <w:rPr>
          <w:rFonts w:ascii="Times New Roman" w:eastAsia="ＭＳ Ｐ明朝" w:hAnsi="Times New Roman"/>
          <w:sz w:val="21"/>
          <w:szCs w:val="21"/>
        </w:rPr>
        <w:t>formula</w:t>
      </w:r>
      <w:r w:rsidRPr="00AA067A">
        <w:rPr>
          <w:rFonts w:ascii="Times New Roman" w:eastAsia="ＭＳ Ｐ明朝" w:hAnsi="Times New Roman"/>
          <w:sz w:val="21"/>
          <w:szCs w:val="21"/>
        </w:rPr>
        <w:t>の</w:t>
      </w:r>
      <w:proofErr w:type="spellStart"/>
      <w:r w:rsidRPr="00AA067A">
        <w:rPr>
          <w:rFonts w:ascii="Times New Roman" w:eastAsia="ＭＳ Ｐ明朝" w:hAnsi="Times New Roman"/>
          <w:sz w:val="21"/>
          <w:szCs w:val="21"/>
        </w:rPr>
        <w:t>subformula</w:t>
      </w:r>
      <w:proofErr w:type="spellEnd"/>
      <w:r w:rsidR="006C68B8">
        <w:rPr>
          <w:rFonts w:ascii="Times New Roman" w:eastAsia="ＭＳ Ｐ明朝" w:hAnsi="Times New Roman"/>
          <w:sz w:val="21"/>
          <w:szCs w:val="21"/>
        </w:rPr>
        <w:t>になっている）が成り立つ</w:t>
      </w:r>
      <w:r w:rsidR="00250C94">
        <w:rPr>
          <w:rFonts w:ascii="Times New Roman" w:eastAsia="ＭＳ Ｐ明朝" w:hAnsi="Times New Roman"/>
          <w:sz w:val="21"/>
          <w:szCs w:val="21"/>
        </w:rPr>
        <w:t>ため，</w:t>
      </w:r>
      <w:r w:rsidR="00450EE2">
        <w:rPr>
          <w:rFonts w:ascii="Times New Roman" w:eastAsia="ＭＳ Ｐ明朝" w:hAnsi="Times New Roman"/>
          <w:sz w:val="21"/>
          <w:szCs w:val="21"/>
        </w:rPr>
        <w:t>「見通しのよい」証明図となる</w:t>
      </w:r>
      <w:r w:rsidR="006C68B8">
        <w:rPr>
          <w:rFonts w:ascii="Times New Roman" w:eastAsia="ＭＳ Ｐ明朝" w:hAnsi="Times New Roman"/>
          <w:sz w:val="21"/>
          <w:szCs w:val="21"/>
        </w:rPr>
        <w:t>．その具体例を示すため，</w:t>
      </w:r>
      <w:r w:rsidR="006C68B8">
        <w:rPr>
          <w:rFonts w:ascii="Times New Roman" w:eastAsia="ＭＳ Ｐ明朝" w:hAnsi="Times New Roman"/>
          <w:sz w:val="21"/>
          <w:szCs w:val="21"/>
        </w:rPr>
        <w:t>LK</w:t>
      </w:r>
      <w:r w:rsidR="00450EE2">
        <w:rPr>
          <w:rFonts w:ascii="Times New Roman" w:eastAsia="ＭＳ Ｐ明朝" w:hAnsi="Times New Roman"/>
          <w:sz w:val="21"/>
          <w:szCs w:val="21"/>
        </w:rPr>
        <w:t>の無矛盾性</w:t>
      </w:r>
      <w:r w:rsidRPr="00AA067A">
        <w:rPr>
          <w:rFonts w:ascii="Times New Roman" w:eastAsia="ＭＳ Ｐ明朝" w:hAnsi="Times New Roman"/>
          <w:sz w:val="21"/>
          <w:szCs w:val="21"/>
        </w:rPr>
        <w:t>の証明をとりあげる．</w:t>
      </w:r>
    </w:p>
    <w:p w:rsidR="00450EE2" w:rsidRDefault="00450EE2" w:rsidP="00450EE2">
      <w:pPr>
        <w:pStyle w:val="Body1"/>
        <w:rPr>
          <w:rFonts w:ascii="Times New Roman" w:eastAsia="ＭＳ Ｐ明朝" w:hAnsi="Times New Roman" w:hint="eastAsia"/>
          <w:sz w:val="21"/>
          <w:szCs w:val="21"/>
        </w:rPr>
      </w:pPr>
    </w:p>
    <w:p w:rsidR="00450EE2" w:rsidRPr="00250C94" w:rsidRDefault="006C68B8" w:rsidP="00250C94">
      <w:pPr>
        <w:pStyle w:val="Body1"/>
        <w:ind w:firstLineChars="100" w:firstLine="241"/>
        <w:rPr>
          <w:rFonts w:ascii="Times New Roman" w:eastAsia="ＭＳ Ｐ明朝" w:hAnsi="Times New Roman"/>
          <w:b/>
          <w:szCs w:val="24"/>
        </w:rPr>
      </w:pPr>
      <w:r w:rsidRPr="00250C94">
        <w:rPr>
          <w:rFonts w:ascii="Times New Roman" w:eastAsia="ＭＳ Ｐ明朝" w:hAnsi="Times New Roman" w:hint="eastAsia"/>
          <w:b/>
          <w:szCs w:val="24"/>
        </w:rPr>
        <w:t>LK</w:t>
      </w:r>
      <w:r w:rsidR="00450EE2" w:rsidRPr="00250C94">
        <w:rPr>
          <w:rFonts w:ascii="Times New Roman" w:eastAsia="ＭＳ Ｐ明朝" w:hAnsi="Times New Roman" w:hint="eastAsia"/>
          <w:b/>
          <w:szCs w:val="24"/>
        </w:rPr>
        <w:t>の無矛盾性の証明</w:t>
      </w:r>
    </w:p>
    <w:p w:rsidR="006C68B8" w:rsidRPr="006C68B8" w:rsidRDefault="006C68B8" w:rsidP="006C68B8">
      <w:pPr>
        <w:pStyle w:val="Body1"/>
        <w:numPr>
          <w:ilvl w:val="0"/>
          <w:numId w:val="4"/>
        </w:numPr>
        <w:rPr>
          <w:rFonts w:ascii="Times New Roman" w:eastAsia="ＭＳ Ｐ明朝" w:hAnsi="Times New Roman" w:hint="eastAsia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LK</w:t>
      </w:r>
      <w:r w:rsidR="00450EE2">
        <w:rPr>
          <w:rFonts w:ascii="Times New Roman" w:eastAsia="ＭＳ Ｐ明朝" w:hAnsi="Times New Roman" w:hint="eastAsia"/>
          <w:sz w:val="21"/>
          <w:szCs w:val="21"/>
        </w:rPr>
        <w:t>で　　　→　　　（空式）が証明可能でないことをいえばよい．そこで，</w:t>
      </w:r>
      <w:r w:rsidR="00450EE2" w:rsidRPr="00450EE2">
        <w:rPr>
          <w:rFonts w:ascii="Times New Roman" w:eastAsia="ＭＳ Ｐ明朝" w:hAnsi="Times New Roman" w:hint="eastAsia"/>
          <w:sz w:val="21"/>
          <w:szCs w:val="21"/>
        </w:rPr>
        <w:t>空式が証明可能であるとする．</w:t>
      </w:r>
      <w:r w:rsidR="00450EE2" w:rsidRPr="006C68B8">
        <w:rPr>
          <w:rFonts w:ascii="Times New Roman" w:eastAsia="ＭＳ Ｐ明朝" w:hAnsi="Times New Roman" w:hint="eastAsia"/>
          <w:sz w:val="21"/>
          <w:szCs w:val="21"/>
        </w:rPr>
        <w:t>このとき，基本定理により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その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cut free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な証明図がとれる．</w:t>
      </w:r>
    </w:p>
    <w:p w:rsidR="006C68B8" w:rsidRPr="006C68B8" w:rsidRDefault="006C68B8" w:rsidP="006C68B8">
      <w:pPr>
        <w:pStyle w:val="Body1"/>
        <w:numPr>
          <w:ilvl w:val="0"/>
          <w:numId w:val="4"/>
        </w:numPr>
        <w:rPr>
          <w:rFonts w:ascii="Times New Roman" w:eastAsia="ＭＳ Ｐ明朝" w:hAnsi="Times New Roman" w:hint="eastAsia"/>
          <w:sz w:val="21"/>
          <w:szCs w:val="21"/>
        </w:rPr>
      </w:pPr>
      <w:r>
        <w:rPr>
          <w:rFonts w:ascii="Times New Roman" w:eastAsia="ＭＳ Ｐ明朝" w:hAnsi="Times New Roman" w:hint="eastAsia"/>
          <w:sz w:val="21"/>
          <w:szCs w:val="21"/>
        </w:rPr>
        <w:t>したがって，</w:t>
      </w:r>
      <w:proofErr w:type="spellStart"/>
      <w:r>
        <w:rPr>
          <w:rFonts w:ascii="Times New Roman" w:eastAsia="ＭＳ Ｐ明朝" w:hAnsi="Times New Roman" w:hint="eastAsia"/>
          <w:sz w:val="21"/>
          <w:szCs w:val="21"/>
        </w:rPr>
        <w:t>subformula</w:t>
      </w:r>
      <w:proofErr w:type="spellEnd"/>
      <w:r>
        <w:rPr>
          <w:rFonts w:ascii="Times New Roman" w:eastAsia="ＭＳ Ｐ明朝" w:hAnsi="Times New Roman" w:hint="eastAsia"/>
          <w:sz w:val="21"/>
          <w:szCs w:val="21"/>
        </w:rPr>
        <w:t xml:space="preserve"> property</w:t>
      </w:r>
      <w:r>
        <w:rPr>
          <w:rFonts w:ascii="Times New Roman" w:eastAsia="ＭＳ Ｐ明朝" w:hAnsi="Times New Roman" w:hint="eastAsia"/>
          <w:sz w:val="21"/>
          <w:szCs w:val="21"/>
        </w:rPr>
        <w:t>からその証明図のすべての</w:t>
      </w:r>
      <w:r>
        <w:rPr>
          <w:rFonts w:ascii="Times New Roman" w:eastAsia="ＭＳ Ｐ明朝" w:hAnsi="Times New Roman" w:hint="eastAsia"/>
          <w:sz w:val="21"/>
          <w:szCs w:val="21"/>
        </w:rPr>
        <w:t>formula</w:t>
      </w:r>
      <w:r>
        <w:rPr>
          <w:rFonts w:ascii="Times New Roman" w:eastAsia="ＭＳ Ｐ明朝" w:hAnsi="Times New Roman" w:hint="eastAsia"/>
          <w:sz w:val="21"/>
          <w:szCs w:val="21"/>
        </w:rPr>
        <w:t>は　　　→　　　の</w:t>
      </w:r>
      <w:r>
        <w:rPr>
          <w:rFonts w:ascii="Times New Roman" w:eastAsia="ＭＳ Ｐ明朝" w:hAnsi="Times New Roman" w:hint="eastAsia"/>
          <w:sz w:val="21"/>
          <w:szCs w:val="21"/>
        </w:rPr>
        <w:t>formula</w:t>
      </w:r>
      <w:r>
        <w:rPr>
          <w:rFonts w:ascii="Times New Roman" w:eastAsia="ＭＳ Ｐ明朝" w:hAnsi="Times New Roman" w:hint="eastAsia"/>
          <w:sz w:val="21"/>
          <w:szCs w:val="21"/>
        </w:rPr>
        <w:t>の</w:t>
      </w:r>
      <w:proofErr w:type="spellStart"/>
      <w:r>
        <w:rPr>
          <w:rFonts w:ascii="Times New Roman" w:eastAsia="ＭＳ Ｐ明朝" w:hAnsi="Times New Roman" w:hint="eastAsia"/>
          <w:sz w:val="21"/>
          <w:szCs w:val="21"/>
        </w:rPr>
        <w:t>subformula</w:t>
      </w:r>
      <w:proofErr w:type="spellEnd"/>
      <w:r>
        <w:rPr>
          <w:rFonts w:ascii="Times New Roman" w:eastAsia="ＭＳ Ｐ明朝" w:hAnsi="Times New Roman" w:hint="eastAsia"/>
          <w:sz w:val="21"/>
          <w:szCs w:val="21"/>
        </w:rPr>
        <w:t>になるから，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始式</w:t>
      </w:r>
      <w:r w:rsidRPr="006C68B8">
        <w:rPr>
          <w:rFonts w:ascii="Times New Roman" w:eastAsia="ＭＳ Ｐ明朝" w:hAnsi="Times New Roman" w:hint="eastAsia"/>
          <w:i/>
          <w:sz w:val="21"/>
          <w:szCs w:val="21"/>
        </w:rPr>
        <w:t>D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→</w:t>
      </w:r>
      <w:r w:rsidRPr="006C68B8">
        <w:rPr>
          <w:rFonts w:ascii="Times New Roman" w:eastAsia="ＭＳ Ｐ明朝" w:hAnsi="Times New Roman" w:hint="eastAsia"/>
          <w:i/>
          <w:sz w:val="21"/>
          <w:szCs w:val="21"/>
        </w:rPr>
        <w:t>D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の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formula</w:t>
      </w:r>
      <w:r w:rsidR="00DC5836">
        <w:rPr>
          <w:rFonts w:ascii="Times New Roman" w:eastAsia="ＭＳ Ｐ明朝" w:hAnsi="Times New Roman" w:hint="eastAsia"/>
          <w:sz w:val="21"/>
          <w:szCs w:val="21"/>
        </w:rPr>
        <w:t>について</w:t>
      </w:r>
      <w:r w:rsidRPr="006C68B8">
        <w:rPr>
          <w:rFonts w:ascii="Times New Roman" w:eastAsia="ＭＳ Ｐ明朝" w:hAnsi="Times New Roman" w:hint="eastAsia"/>
          <w:sz w:val="21"/>
          <w:szCs w:val="21"/>
        </w:rPr>
        <w:t>も</w:t>
      </w:r>
      <w:r>
        <w:rPr>
          <w:rFonts w:ascii="Times New Roman" w:eastAsia="ＭＳ Ｐ明朝" w:hAnsi="Times New Roman" w:hint="eastAsia"/>
          <w:sz w:val="21"/>
          <w:szCs w:val="21"/>
        </w:rPr>
        <w:t>無論そうなる．これは矛盾．□</w:t>
      </w:r>
    </w:p>
    <w:p w:rsidR="00450EE2" w:rsidRDefault="00450EE2" w:rsidP="00AA067A">
      <w:pPr>
        <w:pStyle w:val="Body1"/>
        <w:rPr>
          <w:rFonts w:ascii="Times New Roman" w:eastAsia="ＭＳ Ｐ明朝" w:hAnsi="Times New Roman" w:hint="eastAsia"/>
          <w:sz w:val="21"/>
          <w:szCs w:val="21"/>
        </w:rPr>
      </w:pPr>
    </w:p>
    <w:p w:rsidR="006C68B8" w:rsidRPr="00250C94" w:rsidRDefault="006C68B8" w:rsidP="00250C94">
      <w:pPr>
        <w:pStyle w:val="Body1"/>
        <w:ind w:firstLineChars="100" w:firstLine="241"/>
        <w:rPr>
          <w:rFonts w:ascii="Times New Roman" w:eastAsia="ＭＳ Ｐ明朝" w:hAnsi="Times New Roman"/>
          <w:b/>
          <w:szCs w:val="24"/>
        </w:rPr>
      </w:pPr>
      <w:proofErr w:type="spellStart"/>
      <w:r w:rsidRPr="00250C94">
        <w:rPr>
          <w:rFonts w:ascii="Times New Roman" w:eastAsia="ＭＳ Ｐ明朝" w:hAnsi="Times New Roman"/>
          <w:b/>
          <w:szCs w:val="24"/>
        </w:rPr>
        <w:t>subformula</w:t>
      </w:r>
      <w:proofErr w:type="spellEnd"/>
      <w:r w:rsidRPr="00250C94">
        <w:rPr>
          <w:rFonts w:ascii="Times New Roman" w:eastAsia="ＭＳ Ｐ明朝" w:hAnsi="Times New Roman"/>
          <w:b/>
          <w:szCs w:val="24"/>
        </w:rPr>
        <w:t xml:space="preserve"> property</w:t>
      </w:r>
      <w:r w:rsidRPr="00250C94">
        <w:rPr>
          <w:rFonts w:ascii="Times New Roman" w:eastAsia="ＭＳ Ｐ明朝" w:hAnsi="Times New Roman" w:hint="eastAsia"/>
          <w:b/>
          <w:szCs w:val="24"/>
        </w:rPr>
        <w:t>（</w:t>
      </w:r>
      <w:r w:rsidRPr="00250C94">
        <w:rPr>
          <w:rFonts w:ascii="Times New Roman" w:eastAsia="ＭＳ Ｐ明朝" w:hAnsi="Times New Roman" w:hint="eastAsia"/>
          <w:b/>
          <w:szCs w:val="24"/>
        </w:rPr>
        <w:t>続き</w:t>
      </w:r>
      <w:r w:rsidRPr="00250C94">
        <w:rPr>
          <w:rFonts w:ascii="Times New Roman" w:eastAsia="ＭＳ Ｐ明朝" w:hAnsi="Times New Roman" w:hint="eastAsia"/>
          <w:b/>
          <w:szCs w:val="24"/>
        </w:rPr>
        <w:t>）</w:t>
      </w:r>
    </w:p>
    <w:p w:rsidR="006C68B8" w:rsidRPr="006C68B8" w:rsidRDefault="006C68B8" w:rsidP="006C68B8">
      <w:pPr>
        <w:pStyle w:val="Body1"/>
        <w:numPr>
          <w:ilvl w:val="0"/>
          <w:numId w:val="5"/>
        </w:numPr>
        <w:rPr>
          <w:rFonts w:ascii="Times New Roman" w:eastAsia="ＭＳ Ｐ明朝" w:hAnsi="Times New Roman" w:hint="eastAsia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この例からもわかるように</w:t>
      </w:r>
      <w:r w:rsidR="00AA067A" w:rsidRPr="00AA067A">
        <w:rPr>
          <w:rFonts w:ascii="Times New Roman" w:eastAsia="ＭＳ Ｐ明朝" w:hAnsi="Times New Roman"/>
          <w:sz w:val="21"/>
          <w:szCs w:val="21"/>
        </w:rPr>
        <w:t>，</w:t>
      </w:r>
      <w:proofErr w:type="spellStart"/>
      <w:r w:rsidR="00AA067A" w:rsidRPr="00AA067A">
        <w:rPr>
          <w:rFonts w:ascii="Times New Roman" w:eastAsia="ＭＳ Ｐ明朝" w:hAnsi="Times New Roman"/>
          <w:sz w:val="21"/>
          <w:szCs w:val="21"/>
        </w:rPr>
        <w:t>subformula</w:t>
      </w:r>
      <w:proofErr w:type="spellEnd"/>
      <w:r w:rsidR="00AA067A" w:rsidRPr="00AA067A">
        <w:rPr>
          <w:rFonts w:ascii="Times New Roman" w:eastAsia="ＭＳ Ｐ明朝" w:hAnsi="Times New Roman"/>
          <w:sz w:val="21"/>
          <w:szCs w:val="21"/>
        </w:rPr>
        <w:t xml:space="preserve"> property</w:t>
      </w:r>
      <w:r>
        <w:rPr>
          <w:rFonts w:ascii="Times New Roman" w:eastAsia="ＭＳ Ｐ明朝" w:hAnsi="Times New Roman"/>
          <w:sz w:val="21"/>
          <w:szCs w:val="21"/>
        </w:rPr>
        <w:t>を充たす証明図</w:t>
      </w:r>
      <w:r w:rsidR="00AA067A" w:rsidRPr="00AA067A">
        <w:rPr>
          <w:rFonts w:ascii="Times New Roman" w:eastAsia="ＭＳ Ｐ明朝" w:hAnsi="Times New Roman"/>
          <w:sz w:val="21"/>
          <w:szCs w:val="21"/>
        </w:rPr>
        <w:t>は，</w:t>
      </w:r>
      <w:r w:rsidR="00AA067A" w:rsidRPr="006C68B8">
        <w:rPr>
          <w:rFonts w:ascii="Times New Roman" w:eastAsia="ＭＳ Ｐ明朝" w:hAnsi="Times New Roman"/>
          <w:sz w:val="21"/>
          <w:szCs w:val="21"/>
        </w:rPr>
        <w:t>終式の形からその中の</w:t>
      </w:r>
      <w:r w:rsidR="00AA067A" w:rsidRPr="006C68B8">
        <w:rPr>
          <w:rFonts w:ascii="Times New Roman" w:eastAsia="ＭＳ Ｐ明朝" w:hAnsi="Times New Roman"/>
          <w:sz w:val="21"/>
          <w:szCs w:val="21"/>
        </w:rPr>
        <w:t>formula</w:t>
      </w:r>
      <w:r>
        <w:rPr>
          <w:rFonts w:ascii="Times New Roman" w:eastAsia="ＭＳ Ｐ明朝" w:hAnsi="Times New Roman"/>
          <w:sz w:val="21"/>
          <w:szCs w:val="21"/>
        </w:rPr>
        <w:t>や式等が充たすべき条件がある程度特定</w:t>
      </w:r>
      <w:r>
        <w:rPr>
          <w:rFonts w:ascii="Times New Roman" w:eastAsia="ＭＳ Ｐ明朝" w:hAnsi="Times New Roman" w:hint="eastAsia"/>
          <w:sz w:val="21"/>
          <w:szCs w:val="21"/>
        </w:rPr>
        <w:t>できる．</w:t>
      </w:r>
    </w:p>
    <w:p w:rsidR="006C68B8" w:rsidRDefault="006C68B8" w:rsidP="00AA067A">
      <w:pPr>
        <w:pStyle w:val="Body1"/>
        <w:rPr>
          <w:rFonts w:ascii="Times New Roman" w:eastAsia="ＭＳ Ｐ明朝" w:hAnsi="Times New Roman" w:hint="eastAsia"/>
          <w:sz w:val="21"/>
          <w:szCs w:val="21"/>
        </w:rPr>
      </w:pPr>
    </w:p>
    <w:p w:rsidR="00AA067A" w:rsidRPr="00250C94" w:rsidRDefault="00AA067A" w:rsidP="00250C94">
      <w:pPr>
        <w:pStyle w:val="Body1"/>
        <w:ind w:firstLineChars="100" w:firstLine="241"/>
        <w:rPr>
          <w:rFonts w:ascii="Times New Roman" w:eastAsia="ＭＳ Ｐ明朝" w:hAnsi="Times New Roman"/>
          <w:b/>
          <w:szCs w:val="24"/>
        </w:rPr>
      </w:pPr>
      <w:r w:rsidRPr="00250C94">
        <w:rPr>
          <w:rFonts w:ascii="Times New Roman" w:eastAsia="ＭＳ Ｐ明朝" w:hAnsi="Times New Roman"/>
          <w:b/>
          <w:szCs w:val="24"/>
        </w:rPr>
        <w:t>無矛盾性証明への応用</w:t>
      </w:r>
    </w:p>
    <w:p w:rsidR="00AA067A" w:rsidRPr="00AA067A" w:rsidRDefault="006C68B8" w:rsidP="00A33754">
      <w:pPr>
        <w:pStyle w:val="Body1"/>
        <w:ind w:firstLineChars="100" w:firstLine="210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このような性質から，基本定理（および</w:t>
      </w:r>
      <w:proofErr w:type="spellStart"/>
      <w:r>
        <w:rPr>
          <w:rFonts w:ascii="Times New Roman" w:eastAsia="ＭＳ Ｐ明朝" w:hAnsi="Times New Roman" w:hint="eastAsia"/>
          <w:sz w:val="21"/>
          <w:szCs w:val="21"/>
        </w:rPr>
        <w:t>subformula</w:t>
      </w:r>
      <w:proofErr w:type="spellEnd"/>
      <w:r>
        <w:rPr>
          <w:rFonts w:ascii="Times New Roman" w:eastAsia="ＭＳ Ｐ明朝" w:hAnsi="Times New Roman" w:hint="eastAsia"/>
          <w:sz w:val="21"/>
          <w:szCs w:val="21"/>
        </w:rPr>
        <w:t xml:space="preserve"> property</w:t>
      </w:r>
      <w:r>
        <w:rPr>
          <w:rFonts w:ascii="Times New Roman" w:eastAsia="ＭＳ Ｐ明朝" w:hAnsi="Times New Roman" w:hint="eastAsia"/>
          <w:sz w:val="21"/>
          <w:szCs w:val="21"/>
        </w:rPr>
        <w:t>）</w:t>
      </w:r>
      <w:r>
        <w:rPr>
          <w:rFonts w:ascii="Times New Roman" w:eastAsia="ＭＳ Ｐ明朝" w:hAnsi="Times New Roman"/>
          <w:sz w:val="21"/>
          <w:szCs w:val="21"/>
        </w:rPr>
        <w:t>は公理系の無矛盾性の証明に応用される．ここでは，</w:t>
      </w:r>
      <w:r w:rsidR="00AA067A" w:rsidRPr="00AA067A">
        <w:rPr>
          <w:rFonts w:ascii="Times New Roman" w:eastAsia="ＭＳ Ｐ明朝" w:hAnsi="Times New Roman"/>
          <w:sz w:val="21"/>
          <w:szCs w:val="21"/>
        </w:rPr>
        <w:t>数学的帰納法なしの自然数論</w:t>
      </w:r>
      <w:r w:rsidR="00A33754">
        <w:rPr>
          <w:rFonts w:ascii="Times New Roman" w:eastAsia="ＭＳ Ｐ明朝" w:hAnsi="Times New Roman"/>
          <w:sz w:val="21"/>
          <w:szCs w:val="21"/>
        </w:rPr>
        <w:t>の公理系等をその例としてとりあげる．</w:t>
      </w:r>
    </w:p>
    <w:p w:rsidR="00A33754" w:rsidRDefault="00A33754" w:rsidP="000B724E">
      <w:pPr>
        <w:pStyle w:val="Body1"/>
        <w:rPr>
          <w:rFonts w:ascii="Times New Roman" w:eastAsia="ＭＳ Ｐ明朝" w:hAnsi="Times New Roman" w:hint="eastAsia"/>
          <w:b/>
          <w:szCs w:val="24"/>
        </w:rPr>
      </w:pPr>
    </w:p>
    <w:p w:rsidR="00A33754" w:rsidRDefault="00AA067A" w:rsidP="00DC5836">
      <w:pPr>
        <w:pStyle w:val="Body1"/>
        <w:ind w:firstLineChars="100" w:firstLine="241"/>
        <w:rPr>
          <w:rFonts w:ascii="Times New Roman" w:eastAsia="ＭＳ Ｐ明朝" w:hAnsi="Times New Roman" w:hint="eastAsia"/>
          <w:b/>
          <w:szCs w:val="24"/>
        </w:rPr>
      </w:pPr>
      <w:r w:rsidRPr="00A33754">
        <w:rPr>
          <w:rFonts w:ascii="Times New Roman" w:eastAsia="ＭＳ Ｐ明朝" w:hAnsi="Times New Roman"/>
          <w:b/>
          <w:szCs w:val="24"/>
        </w:rPr>
        <w:t>基本定理の証明のための準備</w:t>
      </w:r>
    </w:p>
    <w:p w:rsidR="00DC5836" w:rsidRDefault="00AA067A" w:rsidP="00A33754">
      <w:pPr>
        <w:pStyle w:val="Body1"/>
        <w:numPr>
          <w:ilvl w:val="0"/>
          <w:numId w:val="5"/>
        </w:numPr>
        <w:rPr>
          <w:rFonts w:ascii="Times New Roman" w:eastAsia="ＭＳ Ｐ明朝" w:hAnsi="Times New Roman" w:hint="eastAsia"/>
          <w:sz w:val="21"/>
          <w:szCs w:val="21"/>
        </w:rPr>
      </w:pPr>
      <w:r w:rsidRPr="00DC5836">
        <w:rPr>
          <w:rFonts w:ascii="Times New Roman" w:eastAsia="ＭＳ Ｐ明朝" w:hAnsi="Times New Roman"/>
          <w:sz w:val="21"/>
          <w:szCs w:val="21"/>
        </w:rPr>
        <w:t>推論図</w:t>
      </w:r>
      <w:r w:rsidRPr="00DC5836">
        <w:rPr>
          <w:rFonts w:ascii="Times New Roman" w:eastAsia="ＭＳ Ｐ明朝" w:hAnsi="Times New Roman"/>
          <w:sz w:val="21"/>
          <w:szCs w:val="21"/>
        </w:rPr>
        <w:t xml:space="preserve"> mixture </w:t>
      </w:r>
      <w:r w:rsidRPr="00DC5836">
        <w:rPr>
          <w:rFonts w:ascii="Times New Roman" w:eastAsia="ＭＳ Ｐ明朝" w:hAnsi="Times New Roman"/>
          <w:sz w:val="21"/>
          <w:szCs w:val="21"/>
        </w:rPr>
        <w:t>の導入</w:t>
      </w:r>
    </w:p>
    <w:p w:rsidR="00DC5836" w:rsidRPr="000B724E" w:rsidRDefault="00AA067A" w:rsidP="000B724E">
      <w:pPr>
        <w:pStyle w:val="Body1"/>
        <w:numPr>
          <w:ilvl w:val="0"/>
          <w:numId w:val="5"/>
        </w:numPr>
        <w:rPr>
          <w:rFonts w:ascii="Times New Roman" w:eastAsia="ＭＳ Ｐ明朝" w:hAnsi="Times New Roman" w:hint="eastAsia"/>
          <w:sz w:val="21"/>
          <w:szCs w:val="21"/>
        </w:rPr>
      </w:pPr>
      <w:r w:rsidRPr="00DC5836">
        <w:rPr>
          <w:rFonts w:ascii="Times New Roman" w:eastAsia="ＭＳ Ｐ明朝" w:hAnsi="Times New Roman"/>
          <w:sz w:val="21"/>
          <w:szCs w:val="21"/>
        </w:rPr>
        <w:t>証明図のサイズを示す二つの概念（</w:t>
      </w:r>
      <w:r w:rsidRPr="00DC5836">
        <w:rPr>
          <w:rFonts w:ascii="Times New Roman" w:eastAsia="ＭＳ Ｐ明朝" w:hAnsi="Times New Roman"/>
          <w:sz w:val="21"/>
          <w:szCs w:val="21"/>
        </w:rPr>
        <w:t>degree</w:t>
      </w:r>
      <w:r w:rsidRPr="00DC5836">
        <w:rPr>
          <w:rFonts w:ascii="Times New Roman" w:eastAsia="ＭＳ Ｐ明朝" w:hAnsi="Times New Roman"/>
          <w:sz w:val="21"/>
          <w:szCs w:val="21"/>
        </w:rPr>
        <w:t>および</w:t>
      </w:r>
      <w:r w:rsidRPr="00DC5836">
        <w:rPr>
          <w:rFonts w:ascii="Times New Roman" w:eastAsia="ＭＳ Ｐ明朝" w:hAnsi="Times New Roman"/>
          <w:sz w:val="21"/>
          <w:szCs w:val="21"/>
        </w:rPr>
        <w:t>rank</w:t>
      </w:r>
      <w:r w:rsidRPr="00DC5836">
        <w:rPr>
          <w:rFonts w:ascii="Times New Roman" w:eastAsia="ＭＳ Ｐ明朝" w:hAnsi="Times New Roman"/>
          <w:sz w:val="21"/>
          <w:szCs w:val="21"/>
        </w:rPr>
        <w:t>）の定義</w:t>
      </w:r>
    </w:p>
    <w:p w:rsidR="00A33754" w:rsidRDefault="00AA067A" w:rsidP="00DC5836">
      <w:pPr>
        <w:pStyle w:val="Body1"/>
        <w:ind w:firstLineChars="100" w:firstLine="241"/>
        <w:rPr>
          <w:rFonts w:ascii="Times New Roman" w:eastAsia="ＭＳ Ｐ明朝" w:hAnsi="Times New Roman" w:hint="eastAsia"/>
          <w:b/>
          <w:szCs w:val="24"/>
        </w:rPr>
      </w:pPr>
      <w:r w:rsidRPr="00A33754">
        <w:rPr>
          <w:rFonts w:ascii="Times New Roman" w:eastAsia="ＭＳ Ｐ明朝" w:hAnsi="Times New Roman"/>
          <w:b/>
          <w:szCs w:val="24"/>
        </w:rPr>
        <w:lastRenderedPageBreak/>
        <w:t>基本定理の証明</w:t>
      </w:r>
    </w:p>
    <w:p w:rsidR="00AA067A" w:rsidRPr="00A33754" w:rsidRDefault="00AA067A" w:rsidP="00A33754">
      <w:pPr>
        <w:pStyle w:val="Body1"/>
        <w:ind w:firstLineChars="50" w:firstLine="105"/>
        <w:rPr>
          <w:rFonts w:ascii="Times New Roman" w:eastAsia="ＭＳ Ｐ明朝" w:hAnsi="Times New Roman"/>
          <w:b/>
          <w:szCs w:val="24"/>
        </w:rPr>
      </w:pPr>
      <w:r w:rsidRPr="00AA067A">
        <w:rPr>
          <w:rFonts w:ascii="Times New Roman" w:eastAsia="ＭＳ Ｐ明朝" w:hAnsi="Times New Roman"/>
          <w:sz w:val="21"/>
          <w:szCs w:val="21"/>
        </w:rPr>
        <w:t>degree(</w:t>
      </w:r>
      <w:r w:rsidRPr="00AA067A">
        <w:rPr>
          <w:rFonts w:ascii="ＭＳ 明朝" w:eastAsia="ＭＳ 明朝" w:hAnsi="ＭＳ 明朝" w:cs="ＭＳ 明朝" w:hint="eastAsia"/>
          <w:sz w:val="21"/>
          <w:szCs w:val="21"/>
        </w:rPr>
        <w:t>≧</w:t>
      </w:r>
      <w:r w:rsidRPr="00AA067A">
        <w:rPr>
          <w:rFonts w:ascii="Times New Roman" w:eastAsia="ＭＳ Ｐ明朝" w:hAnsi="Times New Roman"/>
          <w:sz w:val="21"/>
          <w:szCs w:val="21"/>
        </w:rPr>
        <w:t>0)</w:t>
      </w:r>
      <w:r w:rsidRPr="00AA067A">
        <w:rPr>
          <w:rFonts w:ascii="Times New Roman" w:eastAsia="ＭＳ Ｐ明朝" w:hAnsi="Times New Roman"/>
          <w:sz w:val="21"/>
          <w:szCs w:val="21"/>
        </w:rPr>
        <w:t>と</w:t>
      </w:r>
      <w:r w:rsidRPr="00AA067A">
        <w:rPr>
          <w:rFonts w:ascii="Times New Roman" w:eastAsia="ＭＳ Ｐ明朝" w:hAnsi="Times New Roman"/>
          <w:sz w:val="21"/>
          <w:szCs w:val="21"/>
        </w:rPr>
        <w:t>rank(</w:t>
      </w:r>
      <w:r w:rsidRPr="00AA067A">
        <w:rPr>
          <w:rFonts w:ascii="ＭＳ 明朝" w:eastAsia="ＭＳ 明朝" w:hAnsi="ＭＳ 明朝" w:cs="ＭＳ 明朝" w:hint="eastAsia"/>
          <w:sz w:val="21"/>
          <w:szCs w:val="21"/>
        </w:rPr>
        <w:t>≧</w:t>
      </w:r>
      <w:r w:rsidRPr="00AA067A">
        <w:rPr>
          <w:rFonts w:ascii="Times New Roman" w:eastAsia="ＭＳ Ｐ明朝" w:hAnsi="Times New Roman"/>
          <w:sz w:val="21"/>
          <w:szCs w:val="21"/>
        </w:rPr>
        <w:t>2)</w:t>
      </w:r>
      <w:r w:rsidRPr="00AA067A">
        <w:rPr>
          <w:rFonts w:ascii="Times New Roman" w:eastAsia="ＭＳ Ｐ明朝" w:hAnsi="Times New Roman"/>
          <w:sz w:val="21"/>
          <w:szCs w:val="21"/>
        </w:rPr>
        <w:t>についての二重帰納法．</w:t>
      </w:r>
      <w:r w:rsidR="00DC5836">
        <w:rPr>
          <w:rFonts w:ascii="Times New Roman" w:eastAsia="ＭＳ Ｐ明朝" w:hAnsi="Times New Roman"/>
          <w:sz w:val="21"/>
          <w:szCs w:val="21"/>
        </w:rPr>
        <w:t>講演においては証明の一部を紹介する．</w:t>
      </w:r>
    </w:p>
    <w:p w:rsidR="00AA067A" w:rsidRDefault="00AA067A" w:rsidP="00AA067A">
      <w:pPr>
        <w:pStyle w:val="Body1"/>
        <w:rPr>
          <w:rFonts w:ascii="Times New Roman" w:eastAsia="ＭＳ Ｐ明朝" w:hAnsi="Times New Roman" w:hint="eastAsia"/>
          <w:sz w:val="21"/>
          <w:szCs w:val="21"/>
        </w:rPr>
      </w:pPr>
    </w:p>
    <w:p w:rsidR="000B724E" w:rsidRPr="00AA067A" w:rsidRDefault="000B724E" w:rsidP="00AA067A">
      <w:pPr>
        <w:pStyle w:val="Body1"/>
        <w:rPr>
          <w:rFonts w:ascii="Times New Roman" w:eastAsia="ＭＳ Ｐ明朝" w:hAnsi="Times New Roman"/>
          <w:sz w:val="21"/>
          <w:szCs w:val="21"/>
        </w:rPr>
      </w:pPr>
      <w:bookmarkStart w:id="0" w:name="_GoBack"/>
      <w:bookmarkEnd w:id="0"/>
    </w:p>
    <w:p w:rsidR="00AA067A" w:rsidRPr="00250C94" w:rsidRDefault="00250C94" w:rsidP="00AA067A">
      <w:pPr>
        <w:pStyle w:val="Body1"/>
        <w:rPr>
          <w:rFonts w:ascii="ＭＳ 明朝" w:eastAsia="ＭＳ 明朝" w:hAnsi="ＭＳ 明朝" w:cs="ＭＳ 明朝" w:hint="eastAsia"/>
          <w:b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250C94">
        <w:rPr>
          <w:rFonts w:ascii="ＭＳ 明朝" w:eastAsia="ＭＳ 明朝" w:hAnsi="ＭＳ 明朝" w:cs="ＭＳ 明朝" w:hint="eastAsia"/>
          <w:b/>
          <w:sz w:val="21"/>
          <w:szCs w:val="21"/>
        </w:rPr>
        <w:t>参考文献</w:t>
      </w:r>
    </w:p>
    <w:p w:rsidR="00250C94" w:rsidRDefault="00250C94" w:rsidP="00AA067A">
      <w:pPr>
        <w:pStyle w:val="Body1"/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[1] 竹内外史・八杉満利子『証明論入門』,共立出版,1989</w:t>
      </w:r>
    </w:p>
    <w:p w:rsidR="00250C94" w:rsidRDefault="00250C94" w:rsidP="00250C94">
      <w:pPr>
        <w:pStyle w:val="Body1"/>
        <w:rPr>
          <w:rFonts w:ascii="ＭＳ 明朝" w:eastAsia="ＭＳ 明朝" w:hAnsi="ＭＳ 明朝" w:cs="ＭＳ 明朝" w:hint="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[</w:t>
      </w:r>
      <w:r>
        <w:rPr>
          <w:rFonts w:ascii="ＭＳ 明朝" w:eastAsia="ＭＳ 明朝" w:hAnsi="ＭＳ 明朝" w:cs="ＭＳ 明朝" w:hint="eastAsia"/>
          <w:sz w:val="21"/>
          <w:szCs w:val="21"/>
        </w:rPr>
        <w:t>2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] </w:t>
      </w:r>
      <w:r>
        <w:rPr>
          <w:rFonts w:ascii="ＭＳ 明朝" w:eastAsia="ＭＳ 明朝" w:hAnsi="ＭＳ 明朝" w:cs="ＭＳ 明朝" w:hint="eastAsia"/>
          <w:sz w:val="21"/>
          <w:szCs w:val="21"/>
        </w:rPr>
        <w:t>倉田令二朗</w:t>
      </w:r>
      <w:r>
        <w:rPr>
          <w:rFonts w:ascii="ＭＳ 明朝" w:eastAsia="ＭＳ 明朝" w:hAnsi="ＭＳ 明朝" w:cs="ＭＳ 明朝" w:hint="eastAsia"/>
          <w:sz w:val="21"/>
          <w:szCs w:val="21"/>
        </w:rPr>
        <w:t>『</w:t>
      </w:r>
      <w:r>
        <w:rPr>
          <w:rFonts w:ascii="ＭＳ 明朝" w:eastAsia="ＭＳ 明朝" w:hAnsi="ＭＳ 明朝" w:cs="ＭＳ 明朝" w:hint="eastAsia"/>
          <w:sz w:val="21"/>
          <w:szCs w:val="21"/>
        </w:rPr>
        <w:t>入門数学基礎論</w:t>
      </w:r>
      <w:r>
        <w:rPr>
          <w:rFonts w:ascii="ＭＳ 明朝" w:eastAsia="ＭＳ 明朝" w:hAnsi="ＭＳ 明朝" w:cs="ＭＳ 明朝" w:hint="eastAsia"/>
          <w:sz w:val="21"/>
          <w:szCs w:val="21"/>
        </w:rPr>
        <w:t>』,</w:t>
      </w:r>
      <w:r>
        <w:rPr>
          <w:rFonts w:ascii="ＭＳ 明朝" w:eastAsia="ＭＳ 明朝" w:hAnsi="ＭＳ 明朝" w:cs="ＭＳ 明朝" w:hint="eastAsia"/>
          <w:sz w:val="21"/>
          <w:szCs w:val="21"/>
        </w:rPr>
        <w:t>河合文化教育研究所</w:t>
      </w:r>
      <w:r>
        <w:rPr>
          <w:rFonts w:ascii="ＭＳ 明朝" w:eastAsia="ＭＳ 明朝" w:hAnsi="ＭＳ 明朝" w:cs="ＭＳ 明朝" w:hint="eastAsia"/>
          <w:sz w:val="21"/>
          <w:szCs w:val="21"/>
        </w:rPr>
        <w:t>,</w:t>
      </w:r>
      <w:r>
        <w:rPr>
          <w:rFonts w:ascii="ＭＳ 明朝" w:eastAsia="ＭＳ 明朝" w:hAnsi="ＭＳ 明朝" w:cs="ＭＳ 明朝" w:hint="eastAsia"/>
          <w:sz w:val="21"/>
          <w:szCs w:val="21"/>
        </w:rPr>
        <w:t>1996</w:t>
      </w:r>
    </w:p>
    <w:p w:rsidR="00AA067A" w:rsidRPr="00AA067A" w:rsidRDefault="00AA067A">
      <w:pPr>
        <w:rPr>
          <w:rFonts w:ascii="Times New Roman" w:eastAsia="ＭＳ Ｐ明朝" w:hAnsi="Times New Roman" w:cs="Times New Roman"/>
          <w:szCs w:val="21"/>
        </w:rPr>
      </w:pPr>
    </w:p>
    <w:sectPr w:rsidR="00AA067A" w:rsidRPr="00AA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8C7"/>
    <w:multiLevelType w:val="hybridMultilevel"/>
    <w:tmpl w:val="8946D290"/>
    <w:lvl w:ilvl="0" w:tplc="25F695AC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AA599B"/>
    <w:multiLevelType w:val="hybridMultilevel"/>
    <w:tmpl w:val="D0D2AECE"/>
    <w:lvl w:ilvl="0" w:tplc="A24E06F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4C76E6"/>
    <w:multiLevelType w:val="hybridMultilevel"/>
    <w:tmpl w:val="D7A808BE"/>
    <w:lvl w:ilvl="0" w:tplc="71B00FAE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773F59"/>
    <w:multiLevelType w:val="hybridMultilevel"/>
    <w:tmpl w:val="25DCE972"/>
    <w:lvl w:ilvl="0" w:tplc="E4CE6C8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9B411D"/>
    <w:multiLevelType w:val="hybridMultilevel"/>
    <w:tmpl w:val="45485DD6"/>
    <w:lvl w:ilvl="0" w:tplc="E102BA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A368E2"/>
    <w:multiLevelType w:val="hybridMultilevel"/>
    <w:tmpl w:val="58A63A0C"/>
    <w:lvl w:ilvl="0" w:tplc="2E386F6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253A90"/>
    <w:multiLevelType w:val="hybridMultilevel"/>
    <w:tmpl w:val="F92EF17E"/>
    <w:lvl w:ilvl="0" w:tplc="A24E06F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207285"/>
    <w:multiLevelType w:val="hybridMultilevel"/>
    <w:tmpl w:val="DDC6B19A"/>
    <w:lvl w:ilvl="0" w:tplc="A24E06F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7A"/>
    <w:rsid w:val="000B724E"/>
    <w:rsid w:val="00250C94"/>
    <w:rsid w:val="003C2765"/>
    <w:rsid w:val="00424691"/>
    <w:rsid w:val="00450EE2"/>
    <w:rsid w:val="006C68B8"/>
    <w:rsid w:val="00A33754"/>
    <w:rsid w:val="00AA067A"/>
    <w:rsid w:val="00D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AA067A"/>
    <w:rPr>
      <w:rFonts w:ascii="Helvetica" w:eastAsia="Arial Unicode MS" w:hAnsi="Helvetica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AA067A"/>
    <w:rPr>
      <w:rFonts w:ascii="Helvetica" w:eastAsia="Arial Unicode MS" w:hAnsi="Helvetica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S.YAMAGATA</dc:creator>
  <cp:lastModifiedBy>S.YAMAGATA</cp:lastModifiedBy>
  <cp:revision>4</cp:revision>
  <dcterms:created xsi:type="dcterms:W3CDTF">2012-03-28T13:25:00Z</dcterms:created>
  <dcterms:modified xsi:type="dcterms:W3CDTF">2012-03-28T14:13:00Z</dcterms:modified>
</cp:coreProperties>
</file>